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4C714A" w:rsidP="004C714A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4C714A">
        <w:rPr>
          <w:b/>
          <w:bCs/>
          <w:sz w:val="32"/>
          <w:szCs w:val="32"/>
        </w:rPr>
        <w:t>Microscopic understanding of magnetic</w:t>
      </w:r>
      <w:r>
        <w:rPr>
          <w:b/>
          <w:bCs/>
          <w:sz w:val="32"/>
          <w:szCs w:val="32"/>
        </w:rPr>
        <w:t xml:space="preserve"> </w:t>
      </w:r>
      <w:r w:rsidRPr="004C714A">
        <w:rPr>
          <w:b/>
          <w:bCs/>
          <w:sz w:val="32"/>
          <w:szCs w:val="32"/>
        </w:rPr>
        <w:t>interactions in bilayer CrI</w:t>
      </w:r>
      <w:r w:rsidRPr="004C714A">
        <w:rPr>
          <w:b/>
          <w:bCs/>
          <w:sz w:val="32"/>
          <w:szCs w:val="32"/>
          <w:vertAlign w:val="subscript"/>
        </w:rPr>
        <w:t>3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4C714A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4C714A">
        <w:rPr>
          <w:sz w:val="24"/>
          <w:szCs w:val="24"/>
          <w:u w:val="single"/>
        </w:rPr>
        <w:t>Seung Woo Jang</w:t>
      </w:r>
      <w:r w:rsidRPr="004C714A">
        <w:rPr>
          <w:sz w:val="24"/>
          <w:szCs w:val="24"/>
        </w:rPr>
        <w:t>, Min Yong Jeong, Hongkee Yoon, Siheon Ryee,</w:t>
      </w:r>
      <w:r>
        <w:rPr>
          <w:sz w:val="24"/>
          <w:szCs w:val="24"/>
        </w:rPr>
        <w:br/>
      </w:r>
      <w:r w:rsidRPr="004C714A">
        <w:rPr>
          <w:sz w:val="24"/>
          <w:szCs w:val="24"/>
        </w:rPr>
        <w:t xml:space="preserve"> and Myung Joon Han</w:t>
      </w:r>
      <w:r w:rsidRPr="004C714A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4C714A" w:rsidP="004C714A">
      <w:pPr>
        <w:ind w:firstLine="340"/>
        <w:jc w:val="center"/>
        <w:rPr>
          <w:sz w:val="24"/>
          <w:szCs w:val="24"/>
        </w:rPr>
      </w:pPr>
      <w:r w:rsidRPr="004C714A">
        <w:rPr>
          <w:i/>
          <w:iCs/>
          <w:sz w:val="24"/>
          <w:szCs w:val="24"/>
        </w:rPr>
        <w:t>Department of Physics, Korea Advanced Institute of Science and Technology (KAIST), Daejeon 34141,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4C714A">
        <w:rPr>
          <w:rFonts w:ascii="Times" w:hAnsi="Times" w:hint="eastAsia"/>
          <w:color w:val="0000FF"/>
          <w:u w:val="single"/>
        </w:rPr>
        <w:t>mj.han</w:t>
      </w:r>
      <w:r w:rsidRPr="008C2357">
        <w:rPr>
          <w:rFonts w:ascii="Times" w:hAnsi="Times" w:hint="eastAsia"/>
          <w:color w:val="0000FF"/>
          <w:u w:val="single"/>
        </w:rPr>
        <w:t>@kaist.ac.kr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Default="004C714A" w:rsidP="004C714A">
      <w:pPr>
        <w:spacing w:before="60"/>
        <w:ind w:firstLineChars="100" w:firstLine="240"/>
        <w:rPr>
          <w:sz w:val="24"/>
          <w:szCs w:val="24"/>
        </w:rPr>
      </w:pPr>
      <w:r w:rsidRPr="004C714A">
        <w:rPr>
          <w:sz w:val="24"/>
          <w:szCs w:val="24"/>
        </w:rPr>
        <w:t>We performed the detailed microscopic analysis of the inter-layer magnetic couplings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for bilayer CrI</w:t>
      </w:r>
      <w:r w:rsidRPr="004C714A">
        <w:rPr>
          <w:sz w:val="24"/>
          <w:szCs w:val="24"/>
          <w:vertAlign w:val="subscript"/>
        </w:rPr>
        <w:t>3</w:t>
      </w:r>
      <w:r w:rsidRPr="004C714A">
        <w:rPr>
          <w:sz w:val="24"/>
          <w:szCs w:val="24"/>
        </w:rPr>
        <w:t>. As the first step toward understanding the recent experimental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observations and utilizing them for device applications, we estimated magnetic force response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as well as total energy. Various van der Waals functionals unequivocally point to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the ferromagnetic ground state for the low-temperature structured bilayer CrI</w:t>
      </w:r>
      <w:r w:rsidRPr="004C714A">
        <w:rPr>
          <w:sz w:val="24"/>
          <w:szCs w:val="24"/>
          <w:vertAlign w:val="subscript"/>
        </w:rPr>
        <w:t>3</w:t>
      </w:r>
      <w:r w:rsidRPr="004C714A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i</w:t>
      </w:r>
      <w:bookmarkStart w:id="0" w:name="_GoBack"/>
      <w:bookmarkEnd w:id="0"/>
      <w:r w:rsidRPr="004C714A">
        <w:rPr>
          <w:sz w:val="24"/>
          <w:szCs w:val="24"/>
        </w:rPr>
        <w:t>s further confirmed independently by magnetic force response calculations. The calculated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orbital-dependent magnetic forces clearly show that e</w:t>
      </w:r>
      <w:r w:rsidRPr="004C714A">
        <w:rPr>
          <w:sz w:val="24"/>
          <w:szCs w:val="24"/>
          <w:vertAlign w:val="subscript"/>
        </w:rPr>
        <w:t>g</w:t>
      </w:r>
      <w:r w:rsidRPr="004C714A">
        <w:rPr>
          <w:sz w:val="24"/>
          <w:szCs w:val="24"/>
        </w:rPr>
        <w:t>-t</w:t>
      </w:r>
      <w:r w:rsidRPr="004C714A">
        <w:rPr>
          <w:sz w:val="24"/>
          <w:szCs w:val="24"/>
          <w:vertAlign w:val="subscript"/>
        </w:rPr>
        <w:t>2g</w:t>
      </w:r>
      <w:r w:rsidRPr="004C714A">
        <w:rPr>
          <w:sz w:val="24"/>
          <w:szCs w:val="24"/>
        </w:rPr>
        <w:t xml:space="preserve"> interaction is the key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to stabilize this ferromagnetic order. By suppressing this ferromagnetic interaction and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enhancing antiferromagnetic orbital channels of e</w:t>
      </w:r>
      <w:r w:rsidRPr="004C714A">
        <w:rPr>
          <w:sz w:val="24"/>
          <w:szCs w:val="24"/>
          <w:vertAlign w:val="subscript"/>
        </w:rPr>
        <w:t>g</w:t>
      </w:r>
      <w:r w:rsidRPr="004C714A">
        <w:rPr>
          <w:sz w:val="24"/>
          <w:szCs w:val="24"/>
        </w:rPr>
        <w:t>-e</w:t>
      </w:r>
      <w:r w:rsidRPr="004C714A">
        <w:rPr>
          <w:sz w:val="24"/>
          <w:szCs w:val="24"/>
          <w:vertAlign w:val="subscript"/>
        </w:rPr>
        <w:t>g</w:t>
      </w:r>
      <w:r w:rsidRPr="004C714A">
        <w:rPr>
          <w:sz w:val="24"/>
          <w:szCs w:val="24"/>
        </w:rPr>
        <w:t xml:space="preserve"> and t</w:t>
      </w:r>
      <w:r w:rsidRPr="004C714A">
        <w:rPr>
          <w:sz w:val="24"/>
          <w:szCs w:val="24"/>
          <w:vertAlign w:val="subscript"/>
        </w:rPr>
        <w:t>2g</w:t>
      </w:r>
      <w:r w:rsidRPr="004C714A">
        <w:rPr>
          <w:sz w:val="24"/>
          <w:szCs w:val="24"/>
        </w:rPr>
        <w:t>-t</w:t>
      </w:r>
      <w:r w:rsidRPr="004C714A">
        <w:rPr>
          <w:sz w:val="24"/>
          <w:szCs w:val="24"/>
          <w:vertAlign w:val="subscript"/>
        </w:rPr>
        <w:t>2g</w:t>
      </w:r>
      <w:r w:rsidRPr="004C714A">
        <w:rPr>
          <w:sz w:val="24"/>
          <w:szCs w:val="24"/>
        </w:rPr>
        <w:t>, one can realize the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desirable antiferromagnetic order. We showed that high-temperature monoclinic stacking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can be the case. Our results provide unique information and insight to understand</w:t>
      </w:r>
      <w:r>
        <w:rPr>
          <w:sz w:val="24"/>
          <w:szCs w:val="24"/>
        </w:rPr>
        <w:t xml:space="preserve"> </w:t>
      </w:r>
      <w:r w:rsidRPr="004C714A">
        <w:rPr>
          <w:sz w:val="24"/>
          <w:szCs w:val="24"/>
        </w:rPr>
        <w:t>the magnetism of multi-layer CrI</w:t>
      </w:r>
      <w:r w:rsidRPr="004C714A">
        <w:rPr>
          <w:sz w:val="24"/>
          <w:szCs w:val="24"/>
          <w:vertAlign w:val="subscript"/>
        </w:rPr>
        <w:t>3</w:t>
      </w:r>
      <w:r w:rsidRPr="004C714A">
        <w:rPr>
          <w:sz w:val="24"/>
          <w:szCs w:val="24"/>
        </w:rPr>
        <w:t xml:space="preserve"> paving the way to utilize it for applications.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A3" w:rsidRDefault="005474A3">
      <w:r>
        <w:separator/>
      </w:r>
    </w:p>
  </w:endnote>
  <w:endnote w:type="continuationSeparator" w:id="0">
    <w:p w:rsidR="005474A3" w:rsidRDefault="005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A3" w:rsidRDefault="005474A3">
      <w:r>
        <w:separator/>
      </w:r>
    </w:p>
  </w:footnote>
  <w:footnote w:type="continuationSeparator" w:id="0">
    <w:p w:rsidR="005474A3" w:rsidRDefault="0054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Y0MDUyMjW3tDAxMTFS0lEKTi0uzszPAykwrAUAWR82tSwAAAA="/>
  </w:docVars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4C714A"/>
    <w:rsid w:val="00506870"/>
    <w:rsid w:val="005474A3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A20A48"/>
    <w:rsid w:val="00B03727"/>
    <w:rsid w:val="00B571E0"/>
    <w:rsid w:val="00C004AC"/>
    <w:rsid w:val="00C16377"/>
    <w:rsid w:val="00C93A9D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8894E"/>
  <w14:defaultImageDpi w14:val="33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Seung Woo Jang</cp:lastModifiedBy>
  <cp:revision>10</cp:revision>
  <cp:lastPrinted>2012-08-01T05:35:00Z</cp:lastPrinted>
  <dcterms:created xsi:type="dcterms:W3CDTF">2018-07-04T07:38:00Z</dcterms:created>
  <dcterms:modified xsi:type="dcterms:W3CDTF">2018-10-04T05:48:00Z</dcterms:modified>
  <cp:category/>
</cp:coreProperties>
</file>